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C0" w:rsidRDefault="005A35EC" w:rsidP="000D1BC0">
      <w:pPr>
        <w:spacing w:after="0"/>
        <w:jc w:val="right"/>
        <w:rPr>
          <w:b/>
        </w:rPr>
      </w:pPr>
      <w:bookmarkStart w:id="0" w:name="_GoBack"/>
      <w:bookmarkEnd w:id="0"/>
      <w:r>
        <w:rPr>
          <w:rFonts w:ascii="Calibri" w:eastAsia="Times New Roman" w:hAnsi="Calibri" w:cs="Times New Roman"/>
          <w:b/>
          <w:noProof/>
          <w:lang w:eastAsia="en-GB"/>
        </w:rPr>
        <w:drawing>
          <wp:inline distT="0" distB="0" distL="0" distR="0" wp14:anchorId="2437A885" wp14:editId="0648A9A5">
            <wp:extent cx="2484120" cy="815340"/>
            <wp:effectExtent l="0" t="0" r="0" b="3810"/>
            <wp:docPr id="2" name="Picture 2" descr="S:\Communications and branding\Logos\Colour\United St Saviours Charity Southwark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and branding\Logos\Colour\United St Saviours Charity Southwark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231" cy="816033"/>
                    </a:xfrm>
                    <a:prstGeom prst="rect">
                      <a:avLst/>
                    </a:prstGeom>
                    <a:noFill/>
                    <a:ln>
                      <a:noFill/>
                    </a:ln>
                  </pic:spPr>
                </pic:pic>
              </a:graphicData>
            </a:graphic>
          </wp:inline>
        </w:drawing>
      </w:r>
    </w:p>
    <w:p w:rsidR="000D1BC0" w:rsidRDefault="000D1BC0"/>
    <w:p w:rsidR="005A35EC" w:rsidRPr="005A35EC" w:rsidRDefault="005A35EC">
      <w:pPr>
        <w:rPr>
          <w:b/>
          <w:sz w:val="28"/>
          <w:szCs w:val="28"/>
        </w:rPr>
      </w:pPr>
      <w:r w:rsidRPr="005A35EC">
        <w:rPr>
          <w:b/>
          <w:sz w:val="28"/>
          <w:szCs w:val="28"/>
        </w:rPr>
        <w:t>Consultancy Brief</w:t>
      </w:r>
      <w:r w:rsidR="00072F65">
        <w:rPr>
          <w:b/>
          <w:sz w:val="28"/>
          <w:szCs w:val="28"/>
        </w:rPr>
        <w:t xml:space="preserve"> </w:t>
      </w:r>
      <w:r w:rsidR="00B4048B">
        <w:rPr>
          <w:b/>
          <w:sz w:val="28"/>
          <w:szCs w:val="28"/>
        </w:rPr>
        <w:t>(15/8/2017)</w:t>
      </w:r>
    </w:p>
    <w:tbl>
      <w:tblPr>
        <w:tblStyle w:val="TableGrid"/>
        <w:tblW w:w="10031" w:type="dxa"/>
        <w:tblLook w:val="04A0" w:firstRow="1" w:lastRow="0" w:firstColumn="1" w:lastColumn="0" w:noHBand="0" w:noVBand="1"/>
      </w:tblPr>
      <w:tblGrid>
        <w:gridCol w:w="1668"/>
        <w:gridCol w:w="8363"/>
      </w:tblGrid>
      <w:tr w:rsidR="005A35EC" w:rsidTr="00AA782A">
        <w:tc>
          <w:tcPr>
            <w:tcW w:w="1668" w:type="dxa"/>
          </w:tcPr>
          <w:p w:rsidR="005A35EC" w:rsidRPr="00B067F0" w:rsidRDefault="005A35EC" w:rsidP="000D1BC0">
            <w:pPr>
              <w:rPr>
                <w:b/>
                <w:sz w:val="24"/>
                <w:szCs w:val="24"/>
              </w:rPr>
            </w:pPr>
            <w:r w:rsidRPr="00B067F0">
              <w:rPr>
                <w:b/>
                <w:sz w:val="24"/>
                <w:szCs w:val="24"/>
              </w:rPr>
              <w:t xml:space="preserve">Project </w:t>
            </w:r>
            <w:r>
              <w:rPr>
                <w:b/>
                <w:sz w:val="24"/>
                <w:szCs w:val="24"/>
              </w:rPr>
              <w:t>Name</w:t>
            </w:r>
            <w:r w:rsidR="00AA782A">
              <w:rPr>
                <w:b/>
                <w:sz w:val="24"/>
                <w:szCs w:val="24"/>
              </w:rPr>
              <w:t>:</w:t>
            </w:r>
            <w:r w:rsidRPr="00B067F0">
              <w:rPr>
                <w:b/>
                <w:sz w:val="24"/>
                <w:szCs w:val="24"/>
              </w:rPr>
              <w:t xml:space="preserve">  </w:t>
            </w:r>
          </w:p>
          <w:p w:rsidR="005A35EC" w:rsidRPr="00B067F0" w:rsidRDefault="005A35EC" w:rsidP="000D1BC0">
            <w:pPr>
              <w:rPr>
                <w:sz w:val="24"/>
                <w:szCs w:val="24"/>
              </w:rPr>
            </w:pPr>
          </w:p>
        </w:tc>
        <w:tc>
          <w:tcPr>
            <w:tcW w:w="8363" w:type="dxa"/>
          </w:tcPr>
          <w:p w:rsidR="00F1754F" w:rsidRDefault="005A35EC" w:rsidP="005A35EC">
            <w:pPr>
              <w:rPr>
                <w:b/>
                <w:sz w:val="24"/>
                <w:szCs w:val="24"/>
              </w:rPr>
            </w:pPr>
            <w:r>
              <w:rPr>
                <w:b/>
                <w:sz w:val="24"/>
                <w:szCs w:val="24"/>
              </w:rPr>
              <w:t xml:space="preserve">Small Grants Programme Review: </w:t>
            </w:r>
          </w:p>
          <w:p w:rsidR="005A35EC" w:rsidRPr="00B067F0" w:rsidRDefault="005A35EC" w:rsidP="005A35EC">
            <w:pPr>
              <w:rPr>
                <w:sz w:val="24"/>
                <w:szCs w:val="24"/>
              </w:rPr>
            </w:pPr>
            <w:r>
              <w:rPr>
                <w:b/>
                <w:sz w:val="24"/>
                <w:szCs w:val="24"/>
              </w:rPr>
              <w:t>Peter Minet Trust and United St Saviour’s Charity</w:t>
            </w:r>
          </w:p>
        </w:tc>
      </w:tr>
      <w:tr w:rsidR="005A35EC" w:rsidTr="00AA782A">
        <w:tc>
          <w:tcPr>
            <w:tcW w:w="1668" w:type="dxa"/>
          </w:tcPr>
          <w:p w:rsidR="005A35EC" w:rsidRPr="000D1BC0" w:rsidRDefault="005A35EC" w:rsidP="000D1BC0">
            <w:pPr>
              <w:rPr>
                <w:b/>
              </w:rPr>
            </w:pPr>
            <w:r>
              <w:rPr>
                <w:b/>
              </w:rPr>
              <w:t>Project Lead</w:t>
            </w:r>
            <w:r w:rsidR="00AA782A">
              <w:rPr>
                <w:b/>
              </w:rPr>
              <w:t>:</w:t>
            </w:r>
          </w:p>
        </w:tc>
        <w:tc>
          <w:tcPr>
            <w:tcW w:w="8363" w:type="dxa"/>
          </w:tcPr>
          <w:p w:rsidR="005A35EC" w:rsidRDefault="005A35EC" w:rsidP="00AD7DEE">
            <w:r>
              <w:t>Matthew Allgood</w:t>
            </w:r>
            <w:r w:rsidR="00AA782A">
              <w:t xml:space="preserve"> (United St Saviour’s Charity)</w:t>
            </w:r>
          </w:p>
          <w:p w:rsidR="005A35EC" w:rsidRDefault="005A35EC"/>
        </w:tc>
      </w:tr>
      <w:tr w:rsidR="005A35EC" w:rsidTr="00AA782A">
        <w:tc>
          <w:tcPr>
            <w:tcW w:w="1668" w:type="dxa"/>
          </w:tcPr>
          <w:p w:rsidR="005A35EC" w:rsidRPr="000D1BC0" w:rsidRDefault="005A35EC">
            <w:pPr>
              <w:rPr>
                <w:b/>
              </w:rPr>
            </w:pPr>
            <w:r>
              <w:rPr>
                <w:b/>
              </w:rPr>
              <w:t>Project Group</w:t>
            </w:r>
            <w:r w:rsidR="00AA782A">
              <w:rPr>
                <w:b/>
              </w:rPr>
              <w:t>:</w:t>
            </w:r>
          </w:p>
        </w:tc>
        <w:tc>
          <w:tcPr>
            <w:tcW w:w="8363" w:type="dxa"/>
          </w:tcPr>
          <w:p w:rsidR="005A35EC" w:rsidRDefault="005A35EC">
            <w:r>
              <w:t>Rachel Oglethorpe</w:t>
            </w:r>
          </w:p>
          <w:p w:rsidR="005A35EC" w:rsidRDefault="005A35EC">
            <w:r>
              <w:t>Sarah Thurman</w:t>
            </w:r>
          </w:p>
          <w:p w:rsidR="005A35EC" w:rsidRDefault="005A35EC">
            <w:r>
              <w:t>Matthew Allgood</w:t>
            </w:r>
          </w:p>
        </w:tc>
      </w:tr>
      <w:tr w:rsidR="005A35EC" w:rsidTr="00AA782A">
        <w:tc>
          <w:tcPr>
            <w:tcW w:w="1668" w:type="dxa"/>
          </w:tcPr>
          <w:p w:rsidR="005A35EC" w:rsidRDefault="005A35EC"/>
        </w:tc>
        <w:tc>
          <w:tcPr>
            <w:tcW w:w="8363" w:type="dxa"/>
          </w:tcPr>
          <w:p w:rsidR="005A35EC" w:rsidRDefault="005A35EC"/>
        </w:tc>
      </w:tr>
      <w:tr w:rsidR="005A35EC" w:rsidTr="00AA782A">
        <w:tc>
          <w:tcPr>
            <w:tcW w:w="1668" w:type="dxa"/>
          </w:tcPr>
          <w:p w:rsidR="005A35EC" w:rsidRDefault="00AA782A" w:rsidP="005A35EC">
            <w:r>
              <w:rPr>
                <w:b/>
              </w:rPr>
              <w:t>C</w:t>
            </w:r>
            <w:r w:rsidR="005A35EC">
              <w:rPr>
                <w:b/>
              </w:rPr>
              <w:t xml:space="preserve">ontext </w:t>
            </w:r>
            <w:r>
              <w:rPr>
                <w:b/>
              </w:rPr>
              <w:t>and rationale:</w:t>
            </w:r>
          </w:p>
        </w:tc>
        <w:tc>
          <w:tcPr>
            <w:tcW w:w="8363" w:type="dxa"/>
          </w:tcPr>
          <w:p w:rsidR="00EC125A" w:rsidRDefault="000F1CB0" w:rsidP="003B4464">
            <w:r>
              <w:t xml:space="preserve">Peter Minet Trust </w:t>
            </w:r>
            <w:r w:rsidR="00E55C32">
              <w:t xml:space="preserve">(PM) </w:t>
            </w:r>
            <w:r>
              <w:t xml:space="preserve">and United St Saviour’s </w:t>
            </w:r>
            <w:r w:rsidR="00E55C32">
              <w:t>Charity (US</w:t>
            </w:r>
            <w:r w:rsidR="00EC125A">
              <w:t>t</w:t>
            </w:r>
            <w:r w:rsidR="00E55C32">
              <w:t xml:space="preserve">SC) </w:t>
            </w:r>
            <w:r>
              <w:t>are independent, place-based funders</w:t>
            </w:r>
            <w:r w:rsidR="00EC125A">
              <w:t>,</w:t>
            </w:r>
            <w:r>
              <w:t xml:space="preserve"> </w:t>
            </w:r>
            <w:r w:rsidR="00EC125A">
              <w:t>based in South London,</w:t>
            </w:r>
            <w:r>
              <w:t xml:space="preserve"> operat</w:t>
            </w:r>
            <w:r w:rsidR="00EC125A">
              <w:t>ing</w:t>
            </w:r>
            <w:r>
              <w:t xml:space="preserve"> </w:t>
            </w:r>
            <w:r w:rsidR="00FD4EDC">
              <w:t xml:space="preserve">‘Small Grants’ </w:t>
            </w:r>
            <w:r w:rsidR="00051BD3">
              <w:t>programme*</w:t>
            </w:r>
            <w:r w:rsidR="00B3143E">
              <w:t xml:space="preserve"> offer</w:t>
            </w:r>
            <w:r w:rsidR="00FD4EDC">
              <w:t>ing</w:t>
            </w:r>
            <w:r w:rsidR="00B3143E">
              <w:t xml:space="preserve">  one-off</w:t>
            </w:r>
            <w:r>
              <w:t xml:space="preserve"> grants of £5k and under. </w:t>
            </w:r>
            <w:r w:rsidR="006E6A03">
              <w:t xml:space="preserve">PM and </w:t>
            </w:r>
            <w:r w:rsidR="00EC125A">
              <w:t xml:space="preserve">UStSC </w:t>
            </w:r>
            <w:r w:rsidR="006E6A03">
              <w:t>are undertaking this project together</w:t>
            </w:r>
            <w:r w:rsidR="008678A2">
              <w:t xml:space="preserve"> as, despite some differences, there is much common ground</w:t>
            </w:r>
            <w:r w:rsidR="00EC125A">
              <w:t>;</w:t>
            </w:r>
            <w:r w:rsidR="0089770C">
              <w:t xml:space="preserve"> we know one another</w:t>
            </w:r>
            <w:r w:rsidR="008678A2">
              <w:t xml:space="preserve">  and</w:t>
            </w:r>
            <w:r w:rsidR="003179D8">
              <w:t xml:space="preserve"> </w:t>
            </w:r>
            <w:r w:rsidR="008678A2">
              <w:t>feel there is much to be gain</w:t>
            </w:r>
            <w:r w:rsidR="00EC125A">
              <w:t xml:space="preserve">ed from pooling our collective </w:t>
            </w:r>
            <w:r w:rsidR="008678A2">
              <w:t>knowledge, experience and data.</w:t>
            </w:r>
            <w:r w:rsidR="00A403E7">
              <w:t xml:space="preserve">  </w:t>
            </w:r>
          </w:p>
          <w:p w:rsidR="00EC125A" w:rsidRDefault="00EC125A" w:rsidP="003B4464"/>
          <w:p w:rsidR="004160BF" w:rsidRDefault="00EC125A" w:rsidP="003B4464">
            <w:r>
              <w:t>B</w:t>
            </w:r>
            <w:r w:rsidR="00A403E7">
              <w:t xml:space="preserve">oth </w:t>
            </w:r>
            <w:r>
              <w:t xml:space="preserve">organisations </w:t>
            </w:r>
            <w:r w:rsidR="00926D13">
              <w:t xml:space="preserve">have operated small grants programmes for a number of years and </w:t>
            </w:r>
            <w:r>
              <w:t xml:space="preserve">are keen to </w:t>
            </w:r>
            <w:r w:rsidR="00A403E7">
              <w:t>underst</w:t>
            </w:r>
            <w:r w:rsidR="001A0813">
              <w:t xml:space="preserve">and more about the value </w:t>
            </w:r>
            <w:r w:rsidR="00926D13">
              <w:t xml:space="preserve">they deliver.  The review will help to </w:t>
            </w:r>
            <w:r>
              <w:t xml:space="preserve">inform the development of their respective </w:t>
            </w:r>
            <w:r w:rsidR="00926D13">
              <w:t xml:space="preserve">grants </w:t>
            </w:r>
            <w:r>
              <w:t>programmes</w:t>
            </w:r>
            <w:r w:rsidR="00926D13">
              <w:t xml:space="preserve"> (</w:t>
            </w:r>
            <w:r w:rsidR="00051BD3">
              <w:t>what programmes they run</w:t>
            </w:r>
            <w:r w:rsidR="00926D13">
              <w:t xml:space="preserve">) and the way that the organisations work with grantees and other funders (how they work). Ultimately the two trusts want to maximise the impact of their work by focusing limited funds more strategically. </w:t>
            </w:r>
          </w:p>
          <w:p w:rsidR="004160BF" w:rsidRDefault="004160BF" w:rsidP="003B4464"/>
          <w:p w:rsidR="004160BF" w:rsidRDefault="004160BF" w:rsidP="003B4464">
            <w:r>
              <w:t xml:space="preserve">Neither organisation has conducted a recent review of its small grants funds, and see this project also as an opportunity to produce a document that highlights and celebrates the impact the funds have made over the past 3 years. </w:t>
            </w:r>
          </w:p>
          <w:p w:rsidR="004160BF" w:rsidRDefault="004160BF" w:rsidP="003B4464"/>
          <w:p w:rsidR="00A403E7" w:rsidRDefault="00051BD3" w:rsidP="003B4464">
            <w:r>
              <w:t xml:space="preserve">The section below provides more detail each trust. </w:t>
            </w:r>
          </w:p>
          <w:p w:rsidR="00EC125A" w:rsidRDefault="00EC125A" w:rsidP="003B4464"/>
          <w:p w:rsidR="00E55C32" w:rsidRDefault="00E55C32" w:rsidP="00743B22">
            <w:r w:rsidRPr="00E55C32">
              <w:rPr>
                <w:u w:val="single"/>
              </w:rPr>
              <w:t>Peter Minet Trust</w:t>
            </w:r>
            <w:r>
              <w:t>:</w:t>
            </w:r>
          </w:p>
          <w:p w:rsidR="003179D8" w:rsidRDefault="003378D1" w:rsidP="00743B22">
            <w:r>
              <w:t xml:space="preserve">PM is undertaking </w:t>
            </w:r>
            <w:r w:rsidR="003179D8">
              <w:t xml:space="preserve">a </w:t>
            </w:r>
            <w:r>
              <w:t xml:space="preserve">major </w:t>
            </w:r>
            <w:r w:rsidR="00E55C32">
              <w:t>strategic review of its grant giving</w:t>
            </w:r>
            <w:r w:rsidR="00D867BE">
              <w:t xml:space="preserve"> </w:t>
            </w:r>
            <w:r w:rsidR="00E55C32">
              <w:t xml:space="preserve">to </w:t>
            </w:r>
            <w:r w:rsidR="00D867BE">
              <w:t xml:space="preserve">develop a </w:t>
            </w:r>
            <w:r w:rsidR="00EA440A">
              <w:t>more confident and strategic approach to funding, based on a greater understandi</w:t>
            </w:r>
            <w:r w:rsidR="00051BD3">
              <w:t xml:space="preserve">ng of the value of its giving. </w:t>
            </w:r>
            <w:r w:rsidR="00EA440A">
              <w:t xml:space="preserve"> PM wants to maximise the difference it </w:t>
            </w:r>
            <w:r w:rsidR="00D867BE">
              <w:t>makes w</w:t>
            </w:r>
            <w:r w:rsidR="00E55C32">
              <w:t xml:space="preserve">ith </w:t>
            </w:r>
            <w:r w:rsidR="00694035">
              <w:t xml:space="preserve">its </w:t>
            </w:r>
            <w:r w:rsidR="00E55C32">
              <w:t xml:space="preserve">limited funds and human resources. </w:t>
            </w:r>
          </w:p>
          <w:p w:rsidR="00EA440A" w:rsidRDefault="00EA440A" w:rsidP="00743B22"/>
          <w:p w:rsidR="00EA440A" w:rsidRPr="00B4048B" w:rsidRDefault="00EA440A" w:rsidP="00743B22">
            <w:r>
              <w:t>PM currently distributes around £160k pa in</w:t>
            </w:r>
            <w:r w:rsidR="002B4FAE">
              <w:t xml:space="preserve"> </w:t>
            </w:r>
            <w:r>
              <w:t xml:space="preserve"> one-off grants </w:t>
            </w:r>
            <w:r w:rsidRPr="00B4048B">
              <w:t xml:space="preserve">of £5k </w:t>
            </w:r>
            <w:r w:rsidR="00A72977" w:rsidRPr="00B4048B">
              <w:t xml:space="preserve">and under </w:t>
            </w:r>
            <w:r w:rsidRPr="00B4048B">
              <w:t>within Southwark and Lambeth</w:t>
            </w:r>
            <w:r w:rsidR="00A72977" w:rsidRPr="00B4048B">
              <w:t xml:space="preserve">, including very small programme of grants of £500 and under. </w:t>
            </w:r>
            <w:r w:rsidRPr="00B4048B">
              <w:t xml:space="preserve">PM operates a traditional, reactive grant-giving model, responding to applications </w:t>
            </w:r>
            <w:r w:rsidR="00694035" w:rsidRPr="00B4048B">
              <w:t xml:space="preserve">from UK registered charities </w:t>
            </w:r>
            <w:r w:rsidRPr="00B4048B">
              <w:t>through an open</w:t>
            </w:r>
            <w:r w:rsidR="00A403E7" w:rsidRPr="00B4048B">
              <w:t>, online</w:t>
            </w:r>
            <w:r w:rsidRPr="00B4048B">
              <w:t xml:space="preserve"> application process. Monitoring is light touch. Grant</w:t>
            </w:r>
            <w:r w:rsidR="00A403E7" w:rsidRPr="00B4048B">
              <w:t>s</w:t>
            </w:r>
            <w:r w:rsidRPr="00B4048B">
              <w:t xml:space="preserve"> are largely for time-limited projects, events or a contribution to the annual costs of a particular programme. </w:t>
            </w:r>
            <w:r w:rsidR="00A403E7" w:rsidRPr="00B4048B">
              <w:t xml:space="preserve">Its criteria are currently very general (UK registered charities improving the quality of life for those in need). </w:t>
            </w:r>
          </w:p>
          <w:p w:rsidR="00A403E7" w:rsidRPr="00B4048B" w:rsidRDefault="00A403E7" w:rsidP="00743B22"/>
          <w:p w:rsidR="00A403E7" w:rsidRPr="00B4048B" w:rsidRDefault="00A403E7" w:rsidP="00743B22">
            <w:r w:rsidRPr="00B4048B">
              <w:t>Demand for grants has increased, as well as the level of the average grant</w:t>
            </w:r>
            <w:r w:rsidR="00A72977" w:rsidRPr="00B4048B">
              <w:t xml:space="preserve"> (now £4.2</w:t>
            </w:r>
            <w:r w:rsidR="008A0A94" w:rsidRPr="00B4048B">
              <w:t>k</w:t>
            </w:r>
            <w:r w:rsidR="00A72977" w:rsidRPr="00B4048B">
              <w:t>)</w:t>
            </w:r>
            <w:r w:rsidRPr="00B4048B">
              <w:t xml:space="preserve">, </w:t>
            </w:r>
            <w:r w:rsidRPr="00B4048B">
              <w:lastRenderedPageBreak/>
              <w:t>leading towards success rates dropping from 44% to 22% over the last 5 years which is unsustainable for PM and for organisations applying and is not good practice.</w:t>
            </w:r>
            <w:r w:rsidR="00A72977" w:rsidRPr="00B4048B">
              <w:t xml:space="preserve">  </w:t>
            </w:r>
            <w:r w:rsidR="006E21C4" w:rsidRPr="00B4048B">
              <w:t>PM has suspend</w:t>
            </w:r>
            <w:r w:rsidR="002B4FAE" w:rsidRPr="00B4048B">
              <w:t xml:space="preserve">ed its programmes in July 2017 as it works towards  a </w:t>
            </w:r>
            <w:r w:rsidR="006E21C4" w:rsidRPr="00B4048B">
              <w:t xml:space="preserve"> new approach later in 2018</w:t>
            </w:r>
          </w:p>
          <w:p w:rsidR="00A72977" w:rsidRPr="00B4048B" w:rsidRDefault="00A72977" w:rsidP="00743B22"/>
          <w:p w:rsidR="002B4FAE" w:rsidRPr="00B4048B" w:rsidRDefault="006E21C4" w:rsidP="00743B22">
            <w:r w:rsidRPr="00B4048B">
              <w:t xml:space="preserve">Anecdotally, PM has </w:t>
            </w:r>
            <w:r w:rsidR="002B4FAE" w:rsidRPr="00B4048B">
              <w:t xml:space="preserve">received </w:t>
            </w:r>
            <w:r w:rsidRPr="00B4048B">
              <w:t>conflict</w:t>
            </w:r>
            <w:r w:rsidR="002B4FAE" w:rsidRPr="00B4048B">
              <w:t>ing feedback from organisations.  Many small grants seem to make a real difference, whether for one-off events or on-going programmes. However, we also hear that some charities find applying for multiple small grants a real challenge, and their urgent need is for slightly larger multi-year funding for core costs.</w:t>
            </w:r>
          </w:p>
          <w:p w:rsidR="006E21C4" w:rsidRDefault="006E21C4" w:rsidP="00743B22">
            <w:r>
              <w:rPr>
                <w:color w:val="FF0000"/>
              </w:rPr>
              <w:t>.</w:t>
            </w:r>
          </w:p>
          <w:p w:rsidR="00051BD3" w:rsidRDefault="00051BD3" w:rsidP="00743B22">
            <w:pPr>
              <w:rPr>
                <w:u w:val="single"/>
              </w:rPr>
            </w:pPr>
            <w:r>
              <w:rPr>
                <w:u w:val="single"/>
              </w:rPr>
              <w:t>United St Saviour’s Charity</w:t>
            </w:r>
          </w:p>
          <w:p w:rsidR="004160BF" w:rsidRDefault="00051BD3" w:rsidP="00743B22">
            <w:r w:rsidRPr="00051BD3">
              <w:t xml:space="preserve">UStSC </w:t>
            </w:r>
            <w:r w:rsidR="00A34558">
              <w:t xml:space="preserve"> </w:t>
            </w:r>
            <w:r w:rsidR="005B53E7">
              <w:t>distributes around £8</w:t>
            </w:r>
            <w:r w:rsidR="00B25EB3">
              <w:t>5</w:t>
            </w:r>
            <w:r w:rsidR="005B53E7">
              <w:t>0k pa across north Southwark</w:t>
            </w:r>
            <w:r w:rsidR="00EB46FA">
              <w:t xml:space="preserve"> to charities and local groups</w:t>
            </w:r>
            <w:r w:rsidR="004160BF">
              <w:t xml:space="preserve">. </w:t>
            </w:r>
            <w:r w:rsidR="00B25EB3">
              <w:t xml:space="preserve"> £150k </w:t>
            </w:r>
            <w:r w:rsidR="004160BF">
              <w:t xml:space="preserve">of this </w:t>
            </w:r>
            <w:r w:rsidR="00B25EB3">
              <w:t xml:space="preserve">is allocated towards the small grants programme.  </w:t>
            </w:r>
            <w:r w:rsidR="004160BF">
              <w:t xml:space="preserve">Small grants tend to be focused on community cohesion-type, one off, </w:t>
            </w:r>
            <w:r w:rsidR="004A46A3">
              <w:t>activities,</w:t>
            </w:r>
            <w:r w:rsidR="004160BF" w:rsidRPr="004160BF">
              <w:rPr>
                <w:color w:val="FF0000"/>
              </w:rPr>
              <w:t xml:space="preserve"> </w:t>
            </w:r>
            <w:r w:rsidR="004160BF">
              <w:t xml:space="preserve"> with an average grant of £2k</w:t>
            </w:r>
            <w:r w:rsidR="004A46A3">
              <w:t>. Last year 63% of small grants recipients were unincorporated (community) groups and TRAs</w:t>
            </w:r>
            <w:r w:rsidR="00B4048B">
              <w:t xml:space="preserve"> (Tenants and Residents Associations)</w:t>
            </w:r>
            <w:r w:rsidR="004A46A3">
              <w:t xml:space="preserve">. </w:t>
            </w:r>
          </w:p>
          <w:p w:rsidR="004160BF" w:rsidRDefault="004160BF" w:rsidP="00743B22"/>
          <w:p w:rsidR="004A46A3" w:rsidRDefault="004160BF" w:rsidP="00743B22">
            <w:r>
              <w:t xml:space="preserve">In 2016 the charity </w:t>
            </w:r>
            <w:r w:rsidR="00A34558">
              <w:t>undert</w:t>
            </w:r>
            <w:r>
              <w:t>ook</w:t>
            </w:r>
            <w:r w:rsidR="00A34558">
              <w:t xml:space="preserve"> a strategic review of its </w:t>
            </w:r>
            <w:r>
              <w:t xml:space="preserve">overall grant-making </w:t>
            </w:r>
            <w:r w:rsidR="00A34558">
              <w:t>and has</w:t>
            </w:r>
            <w:r>
              <w:t xml:space="preserve"> now</w:t>
            </w:r>
            <w:r w:rsidR="00A34558">
              <w:t xml:space="preserve"> introduced </w:t>
            </w:r>
            <w:r w:rsidR="00B25EB3">
              <w:t xml:space="preserve">specific funding </w:t>
            </w:r>
            <w:r w:rsidR="00A34558">
              <w:t xml:space="preserve">themes and </w:t>
            </w:r>
            <w:r w:rsidR="00B25EB3">
              <w:t xml:space="preserve">new </w:t>
            </w:r>
            <w:r w:rsidR="00A34558">
              <w:t xml:space="preserve">processes.  </w:t>
            </w:r>
            <w:r>
              <w:t xml:space="preserve">It has not made any changes to the split between </w:t>
            </w:r>
            <w:r w:rsidR="00B25EB3">
              <w:t xml:space="preserve">small and large grants.  </w:t>
            </w:r>
            <w:r>
              <w:t xml:space="preserve">A </w:t>
            </w:r>
            <w:r w:rsidR="00B25EB3">
              <w:t xml:space="preserve">recent decision to introduce strategic grant-making alongside </w:t>
            </w:r>
            <w:r>
              <w:t xml:space="preserve">the </w:t>
            </w:r>
            <w:r w:rsidR="00B25EB3">
              <w:t>open access grants programme</w:t>
            </w:r>
            <w:r>
              <w:t xml:space="preserve"> will result in increased</w:t>
            </w:r>
            <w:r w:rsidR="00B25EB3">
              <w:t xml:space="preserve"> pressure on </w:t>
            </w:r>
            <w:r w:rsidR="002A625E">
              <w:t xml:space="preserve">the organisation’s staff time as well as the </w:t>
            </w:r>
            <w:r w:rsidR="00B25EB3">
              <w:t>small grants pot</w:t>
            </w:r>
            <w:r w:rsidR="002A625E">
              <w:t xml:space="preserve">. As such, </w:t>
            </w:r>
            <w:r w:rsidR="00B25EB3">
              <w:t xml:space="preserve">the charity needs to find ways of maximising the impact of a potentially reduced </w:t>
            </w:r>
            <w:r>
              <w:t>budget</w:t>
            </w:r>
            <w:r w:rsidR="002A625E">
              <w:t xml:space="preserve"> for it’s under £5k programme</w:t>
            </w:r>
            <w:r w:rsidR="00B25EB3">
              <w:t xml:space="preserve">.  </w:t>
            </w:r>
          </w:p>
          <w:p w:rsidR="00051BD3" w:rsidRPr="00051BD3" w:rsidRDefault="005B53E7" w:rsidP="00743B22">
            <w:r>
              <w:t xml:space="preserve">   </w:t>
            </w:r>
          </w:p>
          <w:p w:rsidR="004A46A3" w:rsidRDefault="004A46A3" w:rsidP="004A46A3">
            <w:r>
              <w:t xml:space="preserve">Anecdotally, the charity feels that the small grants programme makes a difference to a large number of organisations and communities but this has never been quantified.  It is also important to note that running the small grants programme is relatively time consuming, in staff and administration terms.  </w:t>
            </w:r>
          </w:p>
          <w:p w:rsidR="006E6A03" w:rsidRDefault="006E6A03" w:rsidP="00FD4EDC"/>
          <w:p w:rsidR="00743B22" w:rsidRDefault="00743B22" w:rsidP="00FD4EDC">
            <w:r>
              <w:t>*</w:t>
            </w:r>
            <w:r w:rsidRPr="00A403E7">
              <w:rPr>
                <w:i/>
                <w:sz w:val="18"/>
                <w:szCs w:val="18"/>
              </w:rPr>
              <w:t>For the purpose of this exercise we shall all use the generic term ‘Small Grants’ for this level</w:t>
            </w:r>
            <w:r w:rsidR="00FD4EDC" w:rsidRPr="00A403E7">
              <w:rPr>
                <w:i/>
                <w:sz w:val="18"/>
                <w:szCs w:val="18"/>
              </w:rPr>
              <w:t xml:space="preserve"> of grant. </w:t>
            </w:r>
            <w:r w:rsidRPr="00A403E7">
              <w:rPr>
                <w:i/>
                <w:sz w:val="18"/>
                <w:szCs w:val="18"/>
              </w:rPr>
              <w:t xml:space="preserve"> Please note that US</w:t>
            </w:r>
            <w:r w:rsidR="00C573B9">
              <w:rPr>
                <w:i/>
                <w:sz w:val="18"/>
                <w:szCs w:val="18"/>
              </w:rPr>
              <w:t>t</w:t>
            </w:r>
            <w:r w:rsidRPr="00A403E7">
              <w:rPr>
                <w:i/>
                <w:sz w:val="18"/>
                <w:szCs w:val="18"/>
              </w:rPr>
              <w:t>SC uses the term ‘Community Engagement’ for this programme and Peter Minet Trust has used  ‘Main Grants’ for £5k and under, as well as ‘Small Grants’ for £500 and under.</w:t>
            </w:r>
            <w:r w:rsidRPr="00A403E7">
              <w:rPr>
                <w:i/>
              </w:rPr>
              <w:t xml:space="preserve"> </w:t>
            </w:r>
            <w:r w:rsidR="00FD4EDC" w:rsidRPr="00A403E7">
              <w:rPr>
                <w:i/>
              </w:rPr>
              <w:t xml:space="preserve"> </w:t>
            </w:r>
            <w:r w:rsidR="00FD4EDC" w:rsidRPr="00A403E7">
              <w:rPr>
                <w:i/>
                <w:sz w:val="18"/>
                <w:szCs w:val="18"/>
              </w:rPr>
              <w:t>Please also note that US</w:t>
            </w:r>
            <w:r w:rsidR="002A625E">
              <w:rPr>
                <w:i/>
                <w:sz w:val="18"/>
                <w:szCs w:val="18"/>
              </w:rPr>
              <w:t>t</w:t>
            </w:r>
            <w:r w:rsidR="00FD4EDC" w:rsidRPr="00A403E7">
              <w:rPr>
                <w:i/>
                <w:sz w:val="18"/>
                <w:szCs w:val="18"/>
              </w:rPr>
              <w:t>SC also has Community Investment Programme offering larger amounts but this is not the subject of this brief.</w:t>
            </w:r>
            <w:r w:rsidR="00FD4EDC">
              <w:t xml:space="preserve"> </w:t>
            </w:r>
          </w:p>
        </w:tc>
      </w:tr>
      <w:tr w:rsidR="005A35EC" w:rsidTr="00AA782A">
        <w:tc>
          <w:tcPr>
            <w:tcW w:w="1668" w:type="dxa"/>
          </w:tcPr>
          <w:p w:rsidR="005A35EC" w:rsidRPr="008477CD" w:rsidRDefault="005A35EC">
            <w:pPr>
              <w:rPr>
                <w:b/>
              </w:rPr>
            </w:pPr>
          </w:p>
        </w:tc>
        <w:tc>
          <w:tcPr>
            <w:tcW w:w="8363" w:type="dxa"/>
          </w:tcPr>
          <w:p w:rsidR="005A35EC" w:rsidRDefault="005A35EC" w:rsidP="00D45346"/>
        </w:tc>
      </w:tr>
      <w:tr w:rsidR="005A35EC" w:rsidTr="00AA782A">
        <w:tc>
          <w:tcPr>
            <w:tcW w:w="1668" w:type="dxa"/>
          </w:tcPr>
          <w:p w:rsidR="005A35EC" w:rsidRPr="008477CD" w:rsidRDefault="005A35EC">
            <w:pPr>
              <w:rPr>
                <w:b/>
              </w:rPr>
            </w:pPr>
            <w:r w:rsidRPr="008477CD">
              <w:rPr>
                <w:b/>
              </w:rPr>
              <w:t>Aims</w:t>
            </w:r>
            <w:r w:rsidR="00AA782A">
              <w:rPr>
                <w:b/>
              </w:rPr>
              <w:t>:</w:t>
            </w:r>
          </w:p>
        </w:tc>
        <w:tc>
          <w:tcPr>
            <w:tcW w:w="8363" w:type="dxa"/>
          </w:tcPr>
          <w:p w:rsidR="0089770C" w:rsidRDefault="0089770C" w:rsidP="00D45346"/>
          <w:p w:rsidR="00EB46FA" w:rsidRDefault="0089770C" w:rsidP="00EB46FA">
            <w:pPr>
              <w:pStyle w:val="ListParagraph"/>
              <w:numPr>
                <w:ilvl w:val="0"/>
                <w:numId w:val="3"/>
              </w:numPr>
            </w:pPr>
            <w:r>
              <w:t>To</w:t>
            </w:r>
            <w:r w:rsidR="00A34558">
              <w:t xml:space="preserve"> better</w:t>
            </w:r>
            <w:r>
              <w:t xml:space="preserve"> understand the value </w:t>
            </w:r>
            <w:r w:rsidR="007A5EBD">
              <w:t xml:space="preserve">and importance </w:t>
            </w:r>
            <w:r w:rsidR="00EB46FA">
              <w:t xml:space="preserve">of the </w:t>
            </w:r>
            <w:r w:rsidR="002A625E">
              <w:t>s</w:t>
            </w:r>
            <w:r>
              <w:t xml:space="preserve">mall </w:t>
            </w:r>
            <w:r w:rsidR="002A625E">
              <w:t>g</w:t>
            </w:r>
            <w:r>
              <w:t xml:space="preserve">rants </w:t>
            </w:r>
            <w:r w:rsidR="007A5EBD">
              <w:t xml:space="preserve">to the </w:t>
            </w:r>
            <w:r w:rsidR="00C573B9">
              <w:t>recipient groups (and to the two trusts)</w:t>
            </w:r>
          </w:p>
          <w:p w:rsidR="00EB46FA" w:rsidRDefault="00EB46FA" w:rsidP="00EB46FA">
            <w:pPr>
              <w:pStyle w:val="ListParagraph"/>
            </w:pPr>
          </w:p>
          <w:p w:rsidR="00EB46FA" w:rsidRDefault="00EB46FA" w:rsidP="000D1E92">
            <w:pPr>
              <w:pStyle w:val="ListParagraph"/>
              <w:numPr>
                <w:ilvl w:val="0"/>
                <w:numId w:val="3"/>
              </w:numPr>
            </w:pPr>
            <w:r>
              <w:t xml:space="preserve">To explore how the </w:t>
            </w:r>
            <w:r w:rsidR="00C573B9">
              <w:t xml:space="preserve">two grants </w:t>
            </w:r>
            <w:r>
              <w:t>programmes could be developed to maximise the</w:t>
            </w:r>
            <w:r w:rsidR="00C573B9">
              <w:t>ir impact</w:t>
            </w:r>
            <w:r>
              <w:t xml:space="preserve"> </w:t>
            </w:r>
            <w:r w:rsidR="00CD3E2C">
              <w:t>and value (particularly thinking about what makes sense in terms of staff time, resources available, and in terms of the local organisational/funding environment)</w:t>
            </w:r>
          </w:p>
          <w:p w:rsidR="002A625E" w:rsidRDefault="002A625E" w:rsidP="00EB46FA">
            <w:pPr>
              <w:ind w:left="360"/>
            </w:pPr>
          </w:p>
          <w:p w:rsidR="004A46A3" w:rsidRDefault="004A46A3" w:rsidP="004A46A3">
            <w:pPr>
              <w:pStyle w:val="ListParagraph"/>
              <w:numPr>
                <w:ilvl w:val="0"/>
                <w:numId w:val="3"/>
              </w:numPr>
            </w:pPr>
            <w:r>
              <w:t xml:space="preserve">To capture and celebrate the difference (impact) the small grants programmes have made over the past 3 years.  This is not </w:t>
            </w:r>
            <w:r w:rsidR="00EB46FA">
              <w:t xml:space="preserve">intended to be </w:t>
            </w:r>
            <w:r>
              <w:t xml:space="preserve">an evaluation of the </w:t>
            </w:r>
            <w:r w:rsidR="007A5EBD">
              <w:t>programmes but more of a light touch a</w:t>
            </w:r>
            <w:r w:rsidR="00C573B9">
              <w:t>ssessment</w:t>
            </w:r>
            <w:r w:rsidR="007A5EBD">
              <w:t xml:space="preserve">. </w:t>
            </w:r>
          </w:p>
          <w:p w:rsidR="00743B22" w:rsidRDefault="00743B22" w:rsidP="00C573B9"/>
        </w:tc>
      </w:tr>
      <w:tr w:rsidR="005A35EC" w:rsidTr="00AA782A">
        <w:tc>
          <w:tcPr>
            <w:tcW w:w="1668" w:type="dxa"/>
          </w:tcPr>
          <w:p w:rsidR="005A35EC" w:rsidRPr="008477CD" w:rsidRDefault="005A35EC" w:rsidP="008477CD">
            <w:pPr>
              <w:rPr>
                <w:b/>
              </w:rPr>
            </w:pPr>
          </w:p>
        </w:tc>
        <w:tc>
          <w:tcPr>
            <w:tcW w:w="8363" w:type="dxa"/>
          </w:tcPr>
          <w:p w:rsidR="005A35EC" w:rsidRDefault="005A35EC"/>
        </w:tc>
      </w:tr>
      <w:tr w:rsidR="005A35EC" w:rsidTr="00AA782A">
        <w:tc>
          <w:tcPr>
            <w:tcW w:w="1668" w:type="dxa"/>
          </w:tcPr>
          <w:p w:rsidR="005A35EC" w:rsidRPr="008477CD" w:rsidRDefault="00CD3E2C" w:rsidP="00CD3E2C">
            <w:pPr>
              <w:rPr>
                <w:b/>
              </w:rPr>
            </w:pPr>
            <w:r>
              <w:rPr>
                <w:b/>
              </w:rPr>
              <w:t>R</w:t>
            </w:r>
            <w:r w:rsidR="00AA782A">
              <w:rPr>
                <w:b/>
              </w:rPr>
              <w:t>esearch questions</w:t>
            </w:r>
            <w:r>
              <w:rPr>
                <w:b/>
              </w:rPr>
              <w:t>:</w:t>
            </w:r>
          </w:p>
        </w:tc>
        <w:tc>
          <w:tcPr>
            <w:tcW w:w="8363" w:type="dxa"/>
          </w:tcPr>
          <w:p w:rsidR="00CD3E2C" w:rsidRDefault="00CD3E2C" w:rsidP="00CD3E2C">
            <w:pPr>
              <w:pStyle w:val="ListParagraph"/>
            </w:pPr>
          </w:p>
          <w:p w:rsidR="000F1CB0" w:rsidRDefault="00CD3E2C" w:rsidP="00A403E7">
            <w:pPr>
              <w:pStyle w:val="ListParagraph"/>
              <w:numPr>
                <w:ilvl w:val="0"/>
                <w:numId w:val="2"/>
              </w:numPr>
            </w:pPr>
            <w:r>
              <w:t>What value do our small grants have</w:t>
            </w:r>
            <w:r w:rsidR="00092F1E">
              <w:t>?</w:t>
            </w:r>
            <w:r>
              <w:t xml:space="preserve">  (What is the value they bring/have delivered to our partners</w:t>
            </w:r>
            <w:r w:rsidR="00AC6497">
              <w:t>/different kinds of partners/different kinds of projects</w:t>
            </w:r>
            <w:r>
              <w:t>? What value do they deliver to each trust?)</w:t>
            </w:r>
          </w:p>
          <w:p w:rsidR="00CD3E2C" w:rsidRDefault="00CD3E2C" w:rsidP="00CD3E2C">
            <w:pPr>
              <w:pStyle w:val="ListParagraph"/>
            </w:pPr>
          </w:p>
          <w:p w:rsidR="00AC6497" w:rsidRDefault="00AC6497" w:rsidP="000F1CB0">
            <w:pPr>
              <w:pStyle w:val="ListParagraph"/>
              <w:numPr>
                <w:ilvl w:val="0"/>
                <w:numId w:val="2"/>
              </w:numPr>
            </w:pPr>
            <w:r>
              <w:t>What are the main challenges facing our partners in securing funding, and what can the two trusts do to help?</w:t>
            </w:r>
          </w:p>
          <w:p w:rsidR="00AC6497" w:rsidRDefault="00AC6497" w:rsidP="00AC6497">
            <w:pPr>
              <w:pStyle w:val="ListParagraph"/>
            </w:pPr>
          </w:p>
          <w:p w:rsidR="00CD3E2C" w:rsidRDefault="00CD3E2C" w:rsidP="000F1CB0">
            <w:pPr>
              <w:pStyle w:val="ListParagraph"/>
              <w:numPr>
                <w:ilvl w:val="0"/>
                <w:numId w:val="2"/>
              </w:numPr>
            </w:pPr>
            <w:r>
              <w:t>What ha</w:t>
            </w:r>
            <w:r w:rsidR="00AC6497">
              <w:t xml:space="preserve">ve our small grants </w:t>
            </w:r>
            <w:r>
              <w:t xml:space="preserve">programmes </w:t>
            </w:r>
            <w:r w:rsidR="00AC6497">
              <w:t xml:space="preserve">achieved </w:t>
            </w:r>
            <w:r>
              <w:t>over the past 3 years</w:t>
            </w:r>
            <w:r w:rsidR="00AC6497">
              <w:t xml:space="preserve"> (extent and impact)</w:t>
            </w:r>
            <w:r>
              <w:t>?</w:t>
            </w:r>
          </w:p>
          <w:p w:rsidR="00CD3E2C" w:rsidRDefault="00CD3E2C" w:rsidP="00CD3E2C">
            <w:pPr>
              <w:pStyle w:val="ListParagraph"/>
            </w:pPr>
          </w:p>
          <w:p w:rsidR="00CD3E2C" w:rsidRDefault="00CD3E2C" w:rsidP="000F1CB0">
            <w:pPr>
              <w:pStyle w:val="ListParagraph"/>
              <w:numPr>
                <w:ilvl w:val="0"/>
                <w:numId w:val="2"/>
              </w:numPr>
            </w:pPr>
            <w:r>
              <w:t>How should we (re) focus our grants programmes to maximise their value</w:t>
            </w:r>
            <w:r w:rsidR="00AC6497">
              <w:t xml:space="preserve"> and longer term impact</w:t>
            </w:r>
            <w:r>
              <w:t>?</w:t>
            </w:r>
            <w:r w:rsidR="00AC6497">
              <w:t xml:space="preserve">  (What kind of grants/what size of grants/to what kind of organisations (nature or size) /in what form…..?)</w:t>
            </w:r>
          </w:p>
          <w:p w:rsidR="00092F1E" w:rsidRDefault="00092F1E" w:rsidP="00AC6497"/>
        </w:tc>
      </w:tr>
      <w:tr w:rsidR="005A35EC" w:rsidTr="00AA782A">
        <w:tc>
          <w:tcPr>
            <w:tcW w:w="1668" w:type="dxa"/>
          </w:tcPr>
          <w:p w:rsidR="005A35EC" w:rsidRDefault="005A35EC"/>
        </w:tc>
        <w:tc>
          <w:tcPr>
            <w:tcW w:w="8363" w:type="dxa"/>
          </w:tcPr>
          <w:p w:rsidR="005A35EC" w:rsidRDefault="005A35EC"/>
        </w:tc>
      </w:tr>
      <w:tr w:rsidR="005A35EC" w:rsidTr="00AA782A">
        <w:tc>
          <w:tcPr>
            <w:tcW w:w="1668" w:type="dxa"/>
          </w:tcPr>
          <w:p w:rsidR="005A35EC" w:rsidRPr="00AA782A" w:rsidRDefault="00AA782A">
            <w:pPr>
              <w:rPr>
                <w:b/>
              </w:rPr>
            </w:pPr>
            <w:r w:rsidRPr="00AA782A">
              <w:rPr>
                <w:b/>
              </w:rPr>
              <w:t>Deliverables</w:t>
            </w:r>
            <w:r>
              <w:rPr>
                <w:b/>
              </w:rPr>
              <w:t>:</w:t>
            </w:r>
          </w:p>
        </w:tc>
        <w:tc>
          <w:tcPr>
            <w:tcW w:w="8363" w:type="dxa"/>
          </w:tcPr>
          <w:p w:rsidR="005A35EC" w:rsidRDefault="00AC6497" w:rsidP="00AC6497">
            <w:pPr>
              <w:pStyle w:val="ListParagraph"/>
              <w:numPr>
                <w:ilvl w:val="0"/>
                <w:numId w:val="6"/>
              </w:numPr>
            </w:pPr>
            <w:r>
              <w:t xml:space="preserve">A report </w:t>
            </w:r>
            <w:r w:rsidR="005E4627">
              <w:t xml:space="preserve">with findings and recommendations in relation to research questions 1,2 and 4 – for internal use only.  To include joint recommendations and recommendations specific to each trust. </w:t>
            </w:r>
          </w:p>
          <w:p w:rsidR="005E4627" w:rsidRDefault="005E4627" w:rsidP="00AC6497">
            <w:pPr>
              <w:pStyle w:val="ListParagraph"/>
              <w:numPr>
                <w:ilvl w:val="0"/>
                <w:numId w:val="6"/>
              </w:numPr>
            </w:pPr>
            <w:r>
              <w:t xml:space="preserve">A document (format to be agreed) relating to research question 3 highlighting achievements and impact of the two programmes – external facing/communications document. </w:t>
            </w:r>
          </w:p>
        </w:tc>
      </w:tr>
      <w:tr w:rsidR="005A35EC" w:rsidTr="00AA782A">
        <w:tc>
          <w:tcPr>
            <w:tcW w:w="1668" w:type="dxa"/>
          </w:tcPr>
          <w:p w:rsidR="005A35EC" w:rsidRDefault="005A35EC" w:rsidP="00AA782A"/>
        </w:tc>
        <w:tc>
          <w:tcPr>
            <w:tcW w:w="8363" w:type="dxa"/>
          </w:tcPr>
          <w:p w:rsidR="005A35EC" w:rsidRDefault="005A35EC" w:rsidP="00AA782A"/>
        </w:tc>
      </w:tr>
      <w:tr w:rsidR="005A35EC" w:rsidTr="00AA782A">
        <w:tc>
          <w:tcPr>
            <w:tcW w:w="1668" w:type="dxa"/>
          </w:tcPr>
          <w:p w:rsidR="005A35EC" w:rsidRDefault="00AA782A">
            <w:r>
              <w:rPr>
                <w:b/>
              </w:rPr>
              <w:t>Timeframes:</w:t>
            </w:r>
          </w:p>
        </w:tc>
        <w:tc>
          <w:tcPr>
            <w:tcW w:w="8363" w:type="dxa"/>
          </w:tcPr>
          <w:p w:rsidR="005A35EC" w:rsidRDefault="005E4627">
            <w:r>
              <w:t>Appointment of consultant(s) by 22</w:t>
            </w:r>
            <w:r w:rsidRPr="005E4627">
              <w:rPr>
                <w:vertAlign w:val="superscript"/>
              </w:rPr>
              <w:t>nd</w:t>
            </w:r>
            <w:r>
              <w:t xml:space="preserve"> September 2017</w:t>
            </w:r>
          </w:p>
          <w:p w:rsidR="005E4627" w:rsidRDefault="005E4627">
            <w:r>
              <w:t>Completion of project by 24 November 2017</w:t>
            </w:r>
          </w:p>
        </w:tc>
      </w:tr>
      <w:tr w:rsidR="00AA782A" w:rsidTr="00AA782A">
        <w:tc>
          <w:tcPr>
            <w:tcW w:w="1668" w:type="dxa"/>
          </w:tcPr>
          <w:p w:rsidR="00AA782A" w:rsidRDefault="00AA782A"/>
        </w:tc>
        <w:tc>
          <w:tcPr>
            <w:tcW w:w="8363" w:type="dxa"/>
          </w:tcPr>
          <w:p w:rsidR="00AA782A" w:rsidRDefault="00AA782A"/>
        </w:tc>
      </w:tr>
      <w:tr w:rsidR="005A35EC" w:rsidTr="00AA782A">
        <w:tc>
          <w:tcPr>
            <w:tcW w:w="1668" w:type="dxa"/>
          </w:tcPr>
          <w:p w:rsidR="005A35EC" w:rsidRDefault="005A35EC">
            <w:r>
              <w:rPr>
                <w:b/>
              </w:rPr>
              <w:t>Methodology:</w:t>
            </w:r>
          </w:p>
        </w:tc>
        <w:tc>
          <w:tcPr>
            <w:tcW w:w="8363" w:type="dxa"/>
          </w:tcPr>
          <w:p w:rsidR="005A35EC" w:rsidRDefault="005E4627">
            <w:r>
              <w:t>Exact methodology to be agreed, but likely to include:</w:t>
            </w:r>
          </w:p>
          <w:p w:rsidR="00072F65" w:rsidRDefault="00072F65"/>
          <w:p w:rsidR="005E4627" w:rsidRDefault="005E4627" w:rsidP="005E4627">
            <w:pPr>
              <w:pStyle w:val="ListParagraph"/>
              <w:numPr>
                <w:ilvl w:val="0"/>
                <w:numId w:val="7"/>
              </w:numPr>
            </w:pPr>
            <w:r>
              <w:t>Meeting with clients and consultant to work up brief and approach</w:t>
            </w:r>
          </w:p>
          <w:p w:rsidR="005E4627" w:rsidRDefault="005E4627" w:rsidP="005E4627">
            <w:pPr>
              <w:pStyle w:val="ListParagraph"/>
              <w:numPr>
                <w:ilvl w:val="0"/>
                <w:numId w:val="7"/>
              </w:numPr>
            </w:pPr>
            <w:r>
              <w:t>Desk based assessment of data and records (provided by PM and UStSC)</w:t>
            </w:r>
          </w:p>
          <w:p w:rsidR="005E4627" w:rsidRDefault="005E4627" w:rsidP="005E4627">
            <w:pPr>
              <w:pStyle w:val="ListParagraph"/>
              <w:numPr>
                <w:ilvl w:val="0"/>
                <w:numId w:val="7"/>
              </w:numPr>
            </w:pPr>
            <w:r>
              <w:t xml:space="preserve">Review of existing research </w:t>
            </w:r>
          </w:p>
          <w:p w:rsidR="005E4627" w:rsidRDefault="005E4627" w:rsidP="005E4627">
            <w:pPr>
              <w:pStyle w:val="ListParagraph"/>
              <w:numPr>
                <w:ilvl w:val="0"/>
                <w:numId w:val="7"/>
              </w:numPr>
            </w:pPr>
            <w:r>
              <w:t>Workshop to review what ‘value’ means – to PM, UStSC and partners</w:t>
            </w:r>
          </w:p>
          <w:p w:rsidR="005E4627" w:rsidRDefault="005E4627" w:rsidP="005E4627">
            <w:pPr>
              <w:pStyle w:val="ListParagraph"/>
              <w:numPr>
                <w:ilvl w:val="0"/>
                <w:numId w:val="7"/>
              </w:numPr>
            </w:pPr>
            <w:r>
              <w:t>Interviews with grantees (names and contacts to be provided)</w:t>
            </w:r>
          </w:p>
          <w:p w:rsidR="005E4627" w:rsidRDefault="005E4627" w:rsidP="005E4627">
            <w:pPr>
              <w:pStyle w:val="ListParagraph"/>
              <w:numPr>
                <w:ilvl w:val="0"/>
                <w:numId w:val="7"/>
              </w:numPr>
            </w:pPr>
            <w:r>
              <w:t>Mid-way reflection/review of findings with clients (staff and trustees)</w:t>
            </w:r>
          </w:p>
          <w:p w:rsidR="00072F65" w:rsidRDefault="00072F65" w:rsidP="005E4627">
            <w:pPr>
              <w:pStyle w:val="ListParagraph"/>
              <w:numPr>
                <w:ilvl w:val="0"/>
                <w:numId w:val="7"/>
              </w:numPr>
            </w:pPr>
            <w:r>
              <w:t xml:space="preserve">Production of reports and recommendations </w:t>
            </w:r>
          </w:p>
          <w:p w:rsidR="005E4627" w:rsidRDefault="005E4627"/>
        </w:tc>
      </w:tr>
      <w:tr w:rsidR="005A35EC" w:rsidTr="00AA782A">
        <w:tc>
          <w:tcPr>
            <w:tcW w:w="1668" w:type="dxa"/>
          </w:tcPr>
          <w:p w:rsidR="005A35EC" w:rsidRDefault="005A35EC"/>
        </w:tc>
        <w:tc>
          <w:tcPr>
            <w:tcW w:w="8363" w:type="dxa"/>
          </w:tcPr>
          <w:p w:rsidR="005A35EC" w:rsidRDefault="005A35EC"/>
        </w:tc>
      </w:tr>
      <w:tr w:rsidR="005A35EC" w:rsidTr="00AA782A">
        <w:tc>
          <w:tcPr>
            <w:tcW w:w="1668" w:type="dxa"/>
          </w:tcPr>
          <w:p w:rsidR="005A35EC" w:rsidRPr="00B067F0" w:rsidRDefault="00AA782A">
            <w:pPr>
              <w:rPr>
                <w:b/>
              </w:rPr>
            </w:pPr>
            <w:r>
              <w:rPr>
                <w:b/>
              </w:rPr>
              <w:t>Risks:</w:t>
            </w:r>
          </w:p>
        </w:tc>
        <w:tc>
          <w:tcPr>
            <w:tcW w:w="8363" w:type="dxa"/>
          </w:tcPr>
          <w:p w:rsidR="00A34558" w:rsidRDefault="00A34558" w:rsidP="00A34558">
            <w:pPr>
              <w:pStyle w:val="ListParagraph"/>
              <w:numPr>
                <w:ilvl w:val="0"/>
                <w:numId w:val="5"/>
              </w:numPr>
            </w:pPr>
            <w:r>
              <w:t>The review might raise concerns amongst our partners about changes in funding approaches on the part of each trust</w:t>
            </w:r>
          </w:p>
          <w:p w:rsidR="001A0813" w:rsidRDefault="00A34558" w:rsidP="00072F65">
            <w:pPr>
              <w:pStyle w:val="ListParagraph"/>
              <w:numPr>
                <w:ilvl w:val="0"/>
                <w:numId w:val="5"/>
              </w:numPr>
            </w:pPr>
            <w:r>
              <w:t>The review raises expectations amongst partners</w:t>
            </w:r>
          </w:p>
        </w:tc>
      </w:tr>
      <w:tr w:rsidR="00AA782A" w:rsidTr="00AA782A">
        <w:tc>
          <w:tcPr>
            <w:tcW w:w="1668" w:type="dxa"/>
          </w:tcPr>
          <w:p w:rsidR="00AA782A" w:rsidRDefault="00AA782A">
            <w:pPr>
              <w:rPr>
                <w:b/>
              </w:rPr>
            </w:pPr>
          </w:p>
        </w:tc>
        <w:tc>
          <w:tcPr>
            <w:tcW w:w="8363" w:type="dxa"/>
          </w:tcPr>
          <w:p w:rsidR="00AA782A" w:rsidRDefault="00AA782A"/>
        </w:tc>
      </w:tr>
      <w:tr w:rsidR="00AA782A" w:rsidTr="00AA782A">
        <w:tc>
          <w:tcPr>
            <w:tcW w:w="1668" w:type="dxa"/>
          </w:tcPr>
          <w:p w:rsidR="00AA782A" w:rsidRDefault="00AA782A">
            <w:pPr>
              <w:rPr>
                <w:b/>
              </w:rPr>
            </w:pPr>
            <w:r>
              <w:rPr>
                <w:b/>
              </w:rPr>
              <w:t>Other information:</w:t>
            </w:r>
          </w:p>
        </w:tc>
        <w:tc>
          <w:tcPr>
            <w:tcW w:w="8363" w:type="dxa"/>
          </w:tcPr>
          <w:p w:rsidR="007940FD" w:rsidRDefault="007940FD">
            <w:r>
              <w:t>United St Saviour’s Charity is registered no.</w:t>
            </w:r>
            <w:r w:rsidR="00072F65">
              <w:rPr>
                <w:sz w:val="20"/>
                <w:szCs w:val="20"/>
              </w:rPr>
              <w:t xml:space="preserve"> 1103731</w:t>
            </w:r>
            <w:r w:rsidR="00072F65">
              <w:t xml:space="preserve"> www.ustsc.org.uk</w:t>
            </w:r>
          </w:p>
          <w:p w:rsidR="001A0813" w:rsidRDefault="007940FD">
            <w:r>
              <w:t xml:space="preserve">The Peter Minet Trust is registered charity no. 259963/ </w:t>
            </w:r>
            <w:hyperlink r:id="rId10" w:history="1">
              <w:r w:rsidR="00072F65" w:rsidRPr="008517E3">
                <w:rPr>
                  <w:rStyle w:val="Hyperlink"/>
                </w:rPr>
                <w:t>www.peterminet.org.uk</w:t>
              </w:r>
            </w:hyperlink>
          </w:p>
          <w:p w:rsidR="00072F65" w:rsidRDefault="00072F65"/>
          <w:p w:rsidR="00072F65" w:rsidRDefault="00072F65">
            <w:pPr>
              <w:rPr>
                <w:u w:val="single"/>
              </w:rPr>
            </w:pPr>
            <w:r>
              <w:t xml:space="preserve">Information to be provided by the trusts will include: </w:t>
            </w:r>
          </w:p>
          <w:p w:rsidR="00072F65" w:rsidRDefault="00072F65" w:rsidP="00072F65">
            <w:pPr>
              <w:pStyle w:val="ListParagraph"/>
              <w:numPr>
                <w:ilvl w:val="0"/>
                <w:numId w:val="4"/>
              </w:numPr>
            </w:pPr>
            <w:r>
              <w:t xml:space="preserve">List of Grantees and projects funded through small grants programmes 2014-2016 </w:t>
            </w:r>
          </w:p>
          <w:p w:rsidR="00072F65" w:rsidRDefault="00072F65" w:rsidP="00072F65">
            <w:pPr>
              <w:pStyle w:val="ListParagraph"/>
              <w:numPr>
                <w:ilvl w:val="0"/>
                <w:numId w:val="4"/>
              </w:numPr>
            </w:pPr>
            <w:r>
              <w:t xml:space="preserve">Summary of information on grant giving levels, average grant, Success/Turn Down rates, Sizes of organisations funded, borough of beneficiaries </w:t>
            </w:r>
          </w:p>
          <w:p w:rsidR="00072F65" w:rsidRDefault="00072F65" w:rsidP="00072F65">
            <w:pPr>
              <w:pStyle w:val="ListParagraph"/>
            </w:pPr>
          </w:p>
          <w:p w:rsidR="00072F65" w:rsidRDefault="00072F65" w:rsidP="00C573B9">
            <w:r>
              <w:t>Useful resources (not inclusive):</w:t>
            </w:r>
          </w:p>
          <w:p w:rsidR="00C573B9" w:rsidRPr="00072F65" w:rsidRDefault="00C573B9" w:rsidP="00C573B9">
            <w:r w:rsidRPr="000D1E92">
              <w:rPr>
                <w:rFonts w:eastAsiaTheme="minorEastAsia"/>
                <w:i/>
                <w:sz w:val="20"/>
                <w:szCs w:val="20"/>
              </w:rPr>
              <w:t xml:space="preserve"> </w:t>
            </w:r>
            <w:hyperlink r:id="rId11" w:history="1">
              <w:r w:rsidRPr="00072F65">
                <w:rPr>
                  <w:rStyle w:val="Hyperlink"/>
                  <w:rFonts w:eastAsiaTheme="minorEastAsia"/>
                  <w:i/>
                  <w:color w:val="auto"/>
                </w:rPr>
                <w:t>http://esmeefairbairn.org.uk/news-and-learning/news-and-events/listening-for-change-two-sides-of-the-same-coin</w:t>
              </w:r>
            </w:hyperlink>
          </w:p>
          <w:p w:rsidR="007940FD" w:rsidRPr="00072F65" w:rsidRDefault="002D7454" w:rsidP="00072F65">
            <w:pPr>
              <w:rPr>
                <w:rFonts w:eastAsiaTheme="minorEastAsia"/>
                <w:i/>
              </w:rPr>
            </w:pPr>
            <w:hyperlink r:id="rId12" w:history="1">
              <w:r w:rsidR="00C573B9" w:rsidRPr="00072F65">
                <w:rPr>
                  <w:rStyle w:val="Hyperlink"/>
                  <w:rFonts w:eastAsiaTheme="minorEastAsia"/>
                  <w:i/>
                  <w:color w:val="auto"/>
                </w:rPr>
                <w:t>https://blogs.ncvo.org.uk/2017/05/04/core-funding-is-an-investment-not-a-safety-blanket/</w:t>
              </w:r>
            </w:hyperlink>
          </w:p>
          <w:p w:rsidR="00AF4765" w:rsidRDefault="00AF4765"/>
        </w:tc>
      </w:tr>
      <w:tr w:rsidR="00072F65" w:rsidTr="00AA782A">
        <w:tc>
          <w:tcPr>
            <w:tcW w:w="1668" w:type="dxa"/>
          </w:tcPr>
          <w:p w:rsidR="00072F65" w:rsidRDefault="00072F65">
            <w:pPr>
              <w:rPr>
                <w:b/>
              </w:rPr>
            </w:pPr>
          </w:p>
        </w:tc>
        <w:tc>
          <w:tcPr>
            <w:tcW w:w="8363" w:type="dxa"/>
          </w:tcPr>
          <w:p w:rsidR="00072F65" w:rsidRDefault="00072F65"/>
        </w:tc>
      </w:tr>
      <w:tr w:rsidR="00072F65" w:rsidTr="00AA782A">
        <w:tc>
          <w:tcPr>
            <w:tcW w:w="1668" w:type="dxa"/>
          </w:tcPr>
          <w:p w:rsidR="00072F65" w:rsidRDefault="00072F65">
            <w:pPr>
              <w:rPr>
                <w:b/>
              </w:rPr>
            </w:pPr>
            <w:r>
              <w:rPr>
                <w:b/>
              </w:rPr>
              <w:t>Contact details:</w:t>
            </w:r>
          </w:p>
        </w:tc>
        <w:tc>
          <w:tcPr>
            <w:tcW w:w="8363" w:type="dxa"/>
          </w:tcPr>
          <w:p w:rsidR="00072F65" w:rsidRPr="00072F65" w:rsidRDefault="00072F65">
            <w:pPr>
              <w:rPr>
                <w:b/>
              </w:rPr>
            </w:pPr>
            <w:r w:rsidRPr="00072F65">
              <w:rPr>
                <w:b/>
              </w:rPr>
              <w:t>Matthew Allgood:  Matthew.Allgood@ustsc.org.uk</w:t>
            </w:r>
          </w:p>
          <w:p w:rsidR="00072F65" w:rsidRDefault="00072F65">
            <w:r>
              <w:t xml:space="preserve">Rachel Oglethorpe (Peter Minet Trust):  </w:t>
            </w:r>
            <w:hyperlink r:id="rId13" w:history="1">
              <w:r w:rsidRPr="008517E3">
                <w:rPr>
                  <w:rStyle w:val="Hyperlink"/>
                </w:rPr>
                <w:t>info@peterminet.org.uk</w:t>
              </w:r>
            </w:hyperlink>
          </w:p>
          <w:p w:rsidR="00072F65" w:rsidRDefault="00072F65">
            <w:r>
              <w:t>Sarah Thurman (UStSC): Sthurman@ustsc.org.uk</w:t>
            </w:r>
          </w:p>
        </w:tc>
      </w:tr>
    </w:tbl>
    <w:p w:rsidR="000D1BC0" w:rsidRDefault="000D1BC0"/>
    <w:p w:rsidR="000D1BC0" w:rsidRDefault="00B067F0">
      <w:r>
        <w:t xml:space="preserve">Version:  </w:t>
      </w:r>
      <w:r w:rsidR="00B4048B">
        <w:t>Final (15/8/17)</w:t>
      </w:r>
    </w:p>
    <w:sectPr w:rsidR="000D1BC0" w:rsidSect="000D1BC0">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CB" w:rsidRDefault="00820ECB" w:rsidP="001A0813">
      <w:pPr>
        <w:spacing w:after="0" w:line="240" w:lineRule="auto"/>
      </w:pPr>
      <w:r>
        <w:separator/>
      </w:r>
    </w:p>
  </w:endnote>
  <w:endnote w:type="continuationSeparator" w:id="0">
    <w:p w:rsidR="00820ECB" w:rsidRDefault="00820ECB" w:rsidP="001A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12744"/>
      <w:docPartObj>
        <w:docPartGallery w:val="Page Numbers (Bottom of Page)"/>
        <w:docPartUnique/>
      </w:docPartObj>
    </w:sdtPr>
    <w:sdtEndPr>
      <w:rPr>
        <w:noProof/>
      </w:rPr>
    </w:sdtEndPr>
    <w:sdtContent>
      <w:p w:rsidR="001A0813" w:rsidRDefault="001A0813">
        <w:pPr>
          <w:pStyle w:val="Footer"/>
          <w:jc w:val="center"/>
        </w:pPr>
        <w:r>
          <w:fldChar w:fldCharType="begin"/>
        </w:r>
        <w:r>
          <w:instrText xml:space="preserve"> PAGE   \* MERGEFORMAT </w:instrText>
        </w:r>
        <w:r>
          <w:fldChar w:fldCharType="separate"/>
        </w:r>
        <w:r w:rsidR="002D7454">
          <w:rPr>
            <w:noProof/>
          </w:rPr>
          <w:t>1</w:t>
        </w:r>
        <w:r>
          <w:rPr>
            <w:noProof/>
          </w:rPr>
          <w:fldChar w:fldCharType="end"/>
        </w:r>
      </w:p>
    </w:sdtContent>
  </w:sdt>
  <w:p w:rsidR="001A0813" w:rsidRDefault="001A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CB" w:rsidRDefault="00820ECB" w:rsidP="001A0813">
      <w:pPr>
        <w:spacing w:after="0" w:line="240" w:lineRule="auto"/>
      </w:pPr>
      <w:r>
        <w:separator/>
      </w:r>
    </w:p>
  </w:footnote>
  <w:footnote w:type="continuationSeparator" w:id="0">
    <w:p w:rsidR="00820ECB" w:rsidRDefault="00820ECB" w:rsidP="001A0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A0E"/>
    <w:multiLevelType w:val="hybridMultilevel"/>
    <w:tmpl w:val="9F5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36034"/>
    <w:multiLevelType w:val="hybridMultilevel"/>
    <w:tmpl w:val="EBA48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BA72B8"/>
    <w:multiLevelType w:val="hybridMultilevel"/>
    <w:tmpl w:val="77E4D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A03FA7"/>
    <w:multiLevelType w:val="hybridMultilevel"/>
    <w:tmpl w:val="BFB2B5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B26C4"/>
    <w:multiLevelType w:val="hybridMultilevel"/>
    <w:tmpl w:val="CB422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EC1CEC"/>
    <w:multiLevelType w:val="hybridMultilevel"/>
    <w:tmpl w:val="A2D6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964974"/>
    <w:multiLevelType w:val="hybridMultilevel"/>
    <w:tmpl w:val="380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C0"/>
    <w:rsid w:val="00051BD3"/>
    <w:rsid w:val="00072F65"/>
    <w:rsid w:val="00092F1E"/>
    <w:rsid w:val="000D1BC0"/>
    <w:rsid w:val="000D1E92"/>
    <w:rsid w:val="000F0EB6"/>
    <w:rsid w:val="000F1CB0"/>
    <w:rsid w:val="001A0813"/>
    <w:rsid w:val="001A4DC7"/>
    <w:rsid w:val="002A625E"/>
    <w:rsid w:val="002B4FAE"/>
    <w:rsid w:val="002D7454"/>
    <w:rsid w:val="002F7845"/>
    <w:rsid w:val="003179D8"/>
    <w:rsid w:val="003378D1"/>
    <w:rsid w:val="003B4464"/>
    <w:rsid w:val="004160BF"/>
    <w:rsid w:val="004506D9"/>
    <w:rsid w:val="004A46A3"/>
    <w:rsid w:val="005A35EC"/>
    <w:rsid w:val="005B53E7"/>
    <w:rsid w:val="005E4627"/>
    <w:rsid w:val="00694035"/>
    <w:rsid w:val="006E21C4"/>
    <w:rsid w:val="006E6A03"/>
    <w:rsid w:val="00743B22"/>
    <w:rsid w:val="007940FD"/>
    <w:rsid w:val="007A5EBD"/>
    <w:rsid w:val="007E24B9"/>
    <w:rsid w:val="00820ECB"/>
    <w:rsid w:val="008477CD"/>
    <w:rsid w:val="008678A2"/>
    <w:rsid w:val="0089770C"/>
    <w:rsid w:val="008A0A94"/>
    <w:rsid w:val="00926D13"/>
    <w:rsid w:val="009D718E"/>
    <w:rsid w:val="00A34558"/>
    <w:rsid w:val="00A403E7"/>
    <w:rsid w:val="00A45002"/>
    <w:rsid w:val="00A72977"/>
    <w:rsid w:val="00AA782A"/>
    <w:rsid w:val="00AC6497"/>
    <w:rsid w:val="00AD7DEE"/>
    <w:rsid w:val="00AF4765"/>
    <w:rsid w:val="00AF6B73"/>
    <w:rsid w:val="00B067F0"/>
    <w:rsid w:val="00B25EB3"/>
    <w:rsid w:val="00B3143E"/>
    <w:rsid w:val="00B4048B"/>
    <w:rsid w:val="00B908D0"/>
    <w:rsid w:val="00C573B9"/>
    <w:rsid w:val="00CD3E2C"/>
    <w:rsid w:val="00D45346"/>
    <w:rsid w:val="00D867BE"/>
    <w:rsid w:val="00D91B71"/>
    <w:rsid w:val="00E55C32"/>
    <w:rsid w:val="00EA440A"/>
    <w:rsid w:val="00EB46FA"/>
    <w:rsid w:val="00EC125A"/>
    <w:rsid w:val="00F1754F"/>
    <w:rsid w:val="00FD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C0"/>
    <w:rPr>
      <w:rFonts w:ascii="Tahoma" w:hAnsi="Tahoma" w:cs="Tahoma"/>
      <w:sz w:val="16"/>
      <w:szCs w:val="16"/>
    </w:rPr>
  </w:style>
  <w:style w:type="table" w:styleId="TableGrid">
    <w:name w:val="Table Grid"/>
    <w:basedOn w:val="TableNormal"/>
    <w:uiPriority w:val="59"/>
    <w:rsid w:val="000D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346"/>
    <w:pPr>
      <w:ind w:left="720"/>
      <w:contextualSpacing/>
    </w:pPr>
  </w:style>
  <w:style w:type="character" w:styleId="Hyperlink">
    <w:name w:val="Hyperlink"/>
    <w:basedOn w:val="DefaultParagraphFont"/>
    <w:uiPriority w:val="99"/>
    <w:unhideWhenUsed/>
    <w:rsid w:val="000D1E92"/>
    <w:rPr>
      <w:color w:val="0000FF" w:themeColor="hyperlink"/>
      <w:u w:val="single"/>
    </w:rPr>
  </w:style>
  <w:style w:type="paragraph" w:styleId="Header">
    <w:name w:val="header"/>
    <w:basedOn w:val="Normal"/>
    <w:link w:val="HeaderChar"/>
    <w:uiPriority w:val="99"/>
    <w:unhideWhenUsed/>
    <w:rsid w:val="001A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13"/>
  </w:style>
  <w:style w:type="paragraph" w:styleId="Footer">
    <w:name w:val="footer"/>
    <w:basedOn w:val="Normal"/>
    <w:link w:val="FooterChar"/>
    <w:uiPriority w:val="99"/>
    <w:unhideWhenUsed/>
    <w:rsid w:val="001A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C0"/>
    <w:rPr>
      <w:rFonts w:ascii="Tahoma" w:hAnsi="Tahoma" w:cs="Tahoma"/>
      <w:sz w:val="16"/>
      <w:szCs w:val="16"/>
    </w:rPr>
  </w:style>
  <w:style w:type="table" w:styleId="TableGrid">
    <w:name w:val="Table Grid"/>
    <w:basedOn w:val="TableNormal"/>
    <w:uiPriority w:val="59"/>
    <w:rsid w:val="000D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346"/>
    <w:pPr>
      <w:ind w:left="720"/>
      <w:contextualSpacing/>
    </w:pPr>
  </w:style>
  <w:style w:type="character" w:styleId="Hyperlink">
    <w:name w:val="Hyperlink"/>
    <w:basedOn w:val="DefaultParagraphFont"/>
    <w:uiPriority w:val="99"/>
    <w:unhideWhenUsed/>
    <w:rsid w:val="000D1E92"/>
    <w:rPr>
      <w:color w:val="0000FF" w:themeColor="hyperlink"/>
      <w:u w:val="single"/>
    </w:rPr>
  </w:style>
  <w:style w:type="paragraph" w:styleId="Header">
    <w:name w:val="header"/>
    <w:basedOn w:val="Normal"/>
    <w:link w:val="HeaderChar"/>
    <w:uiPriority w:val="99"/>
    <w:unhideWhenUsed/>
    <w:rsid w:val="001A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13"/>
  </w:style>
  <w:style w:type="paragraph" w:styleId="Footer">
    <w:name w:val="footer"/>
    <w:basedOn w:val="Normal"/>
    <w:link w:val="FooterChar"/>
    <w:uiPriority w:val="99"/>
    <w:unhideWhenUsed/>
    <w:rsid w:val="001A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eterminet.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logs.ncvo.org.uk/2017/05/04/core-funding-is-an-investment-not-a-safety-blank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meefairbairn.org.uk/news-and-learning/news-and-events/listening-for-change-two-sides-of-the-same-co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termine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BA1D-E1B9-4FD3-969E-EEED67C5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Thurman</dc:creator>
  <cp:lastModifiedBy>Matthew Allgood</cp:lastModifiedBy>
  <cp:revision>3</cp:revision>
  <cp:lastPrinted>2017-08-07T08:36:00Z</cp:lastPrinted>
  <dcterms:created xsi:type="dcterms:W3CDTF">2017-08-15T10:22:00Z</dcterms:created>
  <dcterms:modified xsi:type="dcterms:W3CDTF">2017-08-16T14:18:00Z</dcterms:modified>
</cp:coreProperties>
</file>